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B2A62" w:rsidRPr="007B2A62" w:rsidTr="007B2A62">
        <w:trPr>
          <w:jc w:val="center"/>
        </w:trPr>
        <w:tc>
          <w:tcPr>
            <w:tcW w:w="9104" w:type="dxa"/>
          </w:tcPr>
          <w:p w:rsidR="007B2A62" w:rsidRPr="007B2A62" w:rsidRDefault="007B2A62" w:rsidP="007B2A62">
            <w:pPr>
              <w:tabs>
                <w:tab w:val="left" w:pos="567"/>
              </w:tabs>
              <w:spacing w:after="0" w:line="240" w:lineRule="auto"/>
              <w:jc w:val="center"/>
              <w:rPr>
                <w:rFonts w:ascii="Times New Roman" w:eastAsia="Times New Roman" w:hAnsi="Times New Roman" w:cs="Times New Roman"/>
                <w:sz w:val="24"/>
                <w:szCs w:val="24"/>
              </w:rPr>
            </w:pPr>
            <w:r w:rsidRPr="007B2A62">
              <w:rPr>
                <w:rFonts w:ascii="Times New Roman" w:eastAsia="Times New Roman" w:hAnsi="Times New Roman" w:cs="Times New Roman"/>
                <w:b/>
                <w:sz w:val="24"/>
                <w:szCs w:val="24"/>
              </w:rPr>
              <w:t>Genelge</w:t>
            </w:r>
          </w:p>
          <w:p w:rsidR="007B2A62" w:rsidRPr="007B2A62" w:rsidRDefault="007B2A62" w:rsidP="007B2A62">
            <w:pPr>
              <w:tabs>
                <w:tab w:val="left" w:pos="567"/>
              </w:tabs>
              <w:spacing w:after="0" w:line="240" w:lineRule="auto"/>
              <w:jc w:val="both"/>
              <w:rPr>
                <w:rFonts w:ascii="Times New Roman" w:eastAsia="Times New Roman" w:hAnsi="Times New Roman" w:cs="Times New Roman"/>
                <w:sz w:val="20"/>
                <w:szCs w:val="20"/>
              </w:rPr>
            </w:pPr>
            <w:r w:rsidRPr="007B2A62">
              <w:rPr>
                <w:rFonts w:ascii="Times New Roman" w:eastAsia="Times New Roman" w:hAnsi="Times New Roman" w:cs="Times New Roman"/>
                <w:sz w:val="18"/>
                <w:szCs w:val="18"/>
              </w:rPr>
              <w:tab/>
            </w:r>
            <w:r w:rsidRPr="007B2A62">
              <w:rPr>
                <w:rFonts w:ascii="Times New Roman" w:eastAsia="Times New Roman" w:hAnsi="Times New Roman" w:cs="Times New Roman"/>
                <w:sz w:val="20"/>
                <w:szCs w:val="20"/>
                <w:u w:val="single"/>
              </w:rPr>
              <w:t>Başbakanlıktan:</w:t>
            </w:r>
          </w:p>
          <w:p w:rsidR="007B2A62" w:rsidRPr="007B2A62" w:rsidRDefault="007B2A62" w:rsidP="007B2A62">
            <w:pPr>
              <w:tabs>
                <w:tab w:val="left" w:pos="567"/>
                <w:tab w:val="left" w:pos="1247"/>
              </w:tabs>
              <w:spacing w:after="0" w:line="240" w:lineRule="auto"/>
              <w:jc w:val="both"/>
              <w:rPr>
                <w:rFonts w:ascii="Times New Roman" w:eastAsia="Times New Roman" w:hAnsi="Times New Roman" w:cs="Times New Roman"/>
                <w:sz w:val="20"/>
                <w:szCs w:val="20"/>
              </w:rPr>
            </w:pPr>
            <w:r w:rsidRPr="007B2A62">
              <w:rPr>
                <w:rFonts w:ascii="Times New Roman" w:eastAsia="Times New Roman" w:hAnsi="Times New Roman" w:cs="Times New Roman"/>
                <w:sz w:val="20"/>
                <w:szCs w:val="20"/>
              </w:rPr>
              <w:tab/>
            </w:r>
            <w:r w:rsidRPr="007B2A62">
              <w:rPr>
                <w:rFonts w:ascii="Times New Roman" w:eastAsia="Times New Roman" w:hAnsi="Times New Roman" w:cs="Times New Roman"/>
                <w:b/>
                <w:sz w:val="20"/>
                <w:szCs w:val="20"/>
              </w:rPr>
              <w:t>Konu:</w:t>
            </w:r>
            <w:r w:rsidRPr="007B2A62">
              <w:rPr>
                <w:rFonts w:ascii="Times New Roman" w:eastAsia="Times New Roman" w:hAnsi="Times New Roman" w:cs="Times New Roman"/>
                <w:sz w:val="20"/>
                <w:szCs w:val="20"/>
              </w:rPr>
              <w:t xml:space="preserve"> </w:t>
            </w:r>
            <w:r w:rsidRPr="007B2A62">
              <w:rPr>
                <w:rFonts w:ascii="Times New Roman" w:eastAsia="Times New Roman" w:hAnsi="Times New Roman" w:cs="Times New Roman"/>
                <w:sz w:val="20"/>
                <w:szCs w:val="20"/>
              </w:rPr>
              <w:tab/>
              <w:t>Bilgi Edinme Hakkı ile İlgili Yıllık Rapor</w:t>
            </w:r>
          </w:p>
          <w:p w:rsidR="007B2A62" w:rsidRPr="007B2A62" w:rsidRDefault="007B2A62" w:rsidP="007B2A62">
            <w:pPr>
              <w:tabs>
                <w:tab w:val="left" w:pos="567"/>
                <w:tab w:val="left" w:pos="1247"/>
              </w:tabs>
              <w:spacing w:after="0" w:line="240" w:lineRule="auto"/>
              <w:jc w:val="both"/>
              <w:rPr>
                <w:rFonts w:ascii="Times New Roman" w:eastAsia="Times New Roman" w:hAnsi="Times New Roman" w:cs="Times New Roman"/>
                <w:sz w:val="20"/>
                <w:szCs w:val="20"/>
              </w:rPr>
            </w:pPr>
          </w:p>
          <w:p w:rsidR="007B2A62" w:rsidRPr="007B2A62" w:rsidRDefault="007B2A62" w:rsidP="007B2A62">
            <w:pPr>
              <w:tabs>
                <w:tab w:val="left" w:pos="567"/>
              </w:tabs>
              <w:spacing w:after="0" w:line="240" w:lineRule="auto"/>
              <w:jc w:val="center"/>
              <w:rPr>
                <w:rFonts w:ascii="Times New Roman" w:eastAsia="Times New Roman" w:hAnsi="Times New Roman" w:cs="Times New Roman"/>
                <w:b/>
                <w:sz w:val="20"/>
                <w:szCs w:val="20"/>
              </w:rPr>
            </w:pPr>
            <w:r w:rsidRPr="007B2A62">
              <w:rPr>
                <w:rFonts w:ascii="Times New Roman" w:eastAsia="Times New Roman" w:hAnsi="Times New Roman" w:cs="Times New Roman"/>
                <w:b/>
                <w:sz w:val="20"/>
                <w:szCs w:val="20"/>
                <w:u w:val="single"/>
              </w:rPr>
              <w:t>Genelge</w:t>
            </w:r>
          </w:p>
          <w:p w:rsidR="007B2A62" w:rsidRPr="007B2A62" w:rsidRDefault="007B2A62" w:rsidP="007B2A62">
            <w:pPr>
              <w:tabs>
                <w:tab w:val="left" w:pos="567"/>
              </w:tabs>
              <w:spacing w:after="0" w:line="240" w:lineRule="auto"/>
              <w:jc w:val="center"/>
              <w:rPr>
                <w:rFonts w:ascii="Times New Roman" w:eastAsia="Times New Roman" w:hAnsi="Times New Roman" w:cs="Times New Roman"/>
                <w:b/>
                <w:sz w:val="20"/>
                <w:szCs w:val="20"/>
              </w:rPr>
            </w:pPr>
            <w:r w:rsidRPr="007B2A62">
              <w:rPr>
                <w:rFonts w:ascii="Times New Roman" w:eastAsia="Times New Roman" w:hAnsi="Times New Roman" w:cs="Times New Roman"/>
                <w:b/>
                <w:sz w:val="20"/>
                <w:szCs w:val="20"/>
              </w:rPr>
              <w:t>2006/2</w:t>
            </w:r>
          </w:p>
          <w:p w:rsidR="007B2A62" w:rsidRPr="007B2A62" w:rsidRDefault="007B2A62" w:rsidP="007B2A62">
            <w:pPr>
              <w:tabs>
                <w:tab w:val="left" w:pos="567"/>
              </w:tabs>
              <w:spacing w:after="0" w:line="240" w:lineRule="auto"/>
              <w:jc w:val="center"/>
              <w:rPr>
                <w:rFonts w:ascii="Times New Roman" w:eastAsia="Times New Roman" w:hAnsi="Times New Roman" w:cs="Times New Roman"/>
                <w:sz w:val="18"/>
                <w:szCs w:val="18"/>
              </w:rPr>
            </w:pPr>
          </w:p>
          <w:p w:rsidR="007B2A62" w:rsidRPr="007B2A62" w:rsidRDefault="007B2A62" w:rsidP="007B2A62">
            <w:pPr>
              <w:tabs>
                <w:tab w:val="left" w:pos="567"/>
              </w:tabs>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ab/>
              <w:t xml:space="preserve">4982 sayılı Bilgi Edinme Hakkı Kanununun 30’uncu maddesi ile </w:t>
            </w:r>
            <w:proofErr w:type="gramStart"/>
            <w:r w:rsidRPr="007B2A62">
              <w:rPr>
                <w:rFonts w:ascii="Times New Roman" w:eastAsia="Times New Roman" w:hAnsi="Times New Roman" w:cs="Times New Roman"/>
                <w:sz w:val="18"/>
                <w:szCs w:val="18"/>
              </w:rPr>
              <w:t>27/4/2004</w:t>
            </w:r>
            <w:proofErr w:type="gramEnd"/>
            <w:r w:rsidRPr="007B2A62">
              <w:rPr>
                <w:rFonts w:ascii="Times New Roman" w:eastAsia="Times New Roman" w:hAnsi="Times New Roman" w:cs="Times New Roman"/>
                <w:sz w:val="18"/>
                <w:szCs w:val="18"/>
              </w:rPr>
              <w:t xml:space="preserve"> tarihli ve 25445 sayılı Resmî Gazetede yayımlanan Bilgi Edinme Hakkı Kanununun Uygulamasına İlişkin Esas ve Usuller Hakkında Yönetmeliğin 44’üncü maddesi uyarınca kamu kurum ve kuruluşlarının bir önceki yıla ait bilgi edinme başvuruları ile ilgili rapor düzenlemeleri gerekmektedir.</w:t>
            </w:r>
          </w:p>
          <w:p w:rsidR="007B2A62" w:rsidRPr="007B2A62" w:rsidRDefault="007B2A62" w:rsidP="007B2A62">
            <w:pPr>
              <w:tabs>
                <w:tab w:val="left" w:pos="567"/>
              </w:tabs>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ab/>
              <w:t>Söz konusu raporların düzenlenmesi ve Bilgi Edinme Değerlendirme Kurulu Başkan</w:t>
            </w:r>
            <w:r w:rsidRPr="007B2A62">
              <w:rPr>
                <w:rFonts w:ascii="Times New Roman" w:eastAsia="Times New Roman" w:hAnsi="Times New Roman" w:cs="Times New Roman"/>
                <w:spacing w:val="5"/>
                <w:sz w:val="18"/>
                <w:szCs w:val="18"/>
              </w:rPr>
              <w:t xml:space="preserve">lığına gönderilmesinde uyulacak usul ve esaslar </w:t>
            </w:r>
            <w:proofErr w:type="gramStart"/>
            <w:r w:rsidRPr="007B2A62">
              <w:rPr>
                <w:rFonts w:ascii="Times New Roman" w:eastAsia="Times New Roman" w:hAnsi="Times New Roman" w:cs="Times New Roman"/>
                <w:spacing w:val="5"/>
                <w:sz w:val="18"/>
                <w:szCs w:val="18"/>
              </w:rPr>
              <w:t>15/2/2005</w:t>
            </w:r>
            <w:proofErr w:type="gramEnd"/>
            <w:r w:rsidRPr="007B2A62">
              <w:rPr>
                <w:rFonts w:ascii="Times New Roman" w:eastAsia="Times New Roman" w:hAnsi="Times New Roman" w:cs="Times New Roman"/>
                <w:spacing w:val="5"/>
                <w:sz w:val="18"/>
                <w:szCs w:val="18"/>
              </w:rPr>
              <w:t xml:space="preserve"> tarih ve 25728 sayılı Resmî </w:t>
            </w:r>
            <w:r w:rsidRPr="007B2A62">
              <w:rPr>
                <w:rFonts w:ascii="Times New Roman" w:eastAsia="Times New Roman" w:hAnsi="Times New Roman" w:cs="Times New Roman"/>
                <w:sz w:val="18"/>
                <w:szCs w:val="18"/>
              </w:rPr>
              <w:t>Gazete’de yayımlanan 2005/3 sayılı genelge ile düzenlenmişti. Ancak, uygulamada görülen aksaklıkların giderilmesi amacıyla söz konusu usul ve esaslar aşağıdaki şekilde yeniden düzenlenmiş ve 2005/3 sayılı Genelge yürürlükten kaldırılmıştır.</w:t>
            </w:r>
          </w:p>
          <w:p w:rsidR="007B2A62" w:rsidRPr="007B2A62" w:rsidRDefault="007B2A62" w:rsidP="007B2A62">
            <w:pPr>
              <w:tabs>
                <w:tab w:val="left" w:pos="567"/>
              </w:tabs>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ab/>
            </w:r>
            <w:r w:rsidRPr="007B2A62">
              <w:rPr>
                <w:rFonts w:ascii="Times New Roman" w:eastAsia="Times New Roman" w:hAnsi="Times New Roman" w:cs="Times New Roman"/>
                <w:b/>
                <w:sz w:val="18"/>
                <w:szCs w:val="18"/>
              </w:rPr>
              <w:t>1.</w:t>
            </w:r>
            <w:r w:rsidRPr="007B2A62">
              <w:rPr>
                <w:rFonts w:ascii="Times New Roman" w:eastAsia="Times New Roman" w:hAnsi="Times New Roman" w:cs="Times New Roman"/>
                <w:sz w:val="18"/>
                <w:szCs w:val="18"/>
              </w:rPr>
              <w:t xml:space="preserve"> </w:t>
            </w:r>
            <w:r w:rsidRPr="007B2A62">
              <w:rPr>
                <w:rFonts w:ascii="Times New Roman" w:eastAsia="Times New Roman" w:hAnsi="Times New Roman" w:cs="Times New Roman"/>
                <w:spacing w:val="5"/>
                <w:sz w:val="18"/>
                <w:szCs w:val="18"/>
              </w:rPr>
              <w:t xml:space="preserve">Bütün kurum ve kuruluşlar raporlarını Genelge ekinde bulunan forma uygun </w:t>
            </w:r>
            <w:r w:rsidRPr="007B2A62">
              <w:rPr>
                <w:rFonts w:ascii="Times New Roman" w:eastAsia="Times New Roman" w:hAnsi="Times New Roman" w:cs="Times New Roman"/>
                <w:sz w:val="18"/>
                <w:szCs w:val="18"/>
              </w:rPr>
              <w:t>olarak düzenleyeceklerdir.</w:t>
            </w:r>
          </w:p>
          <w:p w:rsidR="007B2A62" w:rsidRPr="007B2A62" w:rsidRDefault="007B2A62" w:rsidP="007B2A62">
            <w:pPr>
              <w:tabs>
                <w:tab w:val="left" w:pos="567"/>
              </w:tabs>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ab/>
            </w:r>
            <w:proofErr w:type="gramStart"/>
            <w:r w:rsidRPr="007B2A62">
              <w:rPr>
                <w:rFonts w:ascii="Times New Roman" w:eastAsia="Times New Roman" w:hAnsi="Times New Roman" w:cs="Times New Roman"/>
                <w:b/>
                <w:sz w:val="18"/>
                <w:szCs w:val="18"/>
              </w:rPr>
              <w:t>2.</w:t>
            </w:r>
            <w:r w:rsidRPr="007B2A62">
              <w:rPr>
                <w:rFonts w:ascii="Times New Roman" w:eastAsia="Times New Roman" w:hAnsi="Times New Roman" w:cs="Times New Roman"/>
                <w:sz w:val="18"/>
                <w:szCs w:val="18"/>
              </w:rPr>
              <w:t xml:space="preserve"> Kurum veya kuruluşların 5442 sayılı İl İdaresi Kanunu kapsamındaki taşra teşki</w:t>
            </w:r>
            <w:r w:rsidRPr="007B2A62">
              <w:rPr>
                <w:rFonts w:ascii="Times New Roman" w:eastAsia="Times New Roman" w:hAnsi="Times New Roman" w:cs="Times New Roman"/>
                <w:spacing w:val="5"/>
                <w:sz w:val="18"/>
                <w:szCs w:val="18"/>
              </w:rPr>
              <w:t>latlarının raporları ile belediyelerin raporları ilçelerde kaymakamlıklara, il merkezinde ise</w:t>
            </w:r>
            <w:r w:rsidRPr="007B2A62">
              <w:rPr>
                <w:rFonts w:ascii="Times New Roman" w:eastAsia="Times New Roman" w:hAnsi="Times New Roman" w:cs="Times New Roman"/>
                <w:sz w:val="18"/>
                <w:szCs w:val="18"/>
              </w:rPr>
              <w:t xml:space="preserve"> valiliklere gönderilecek, valilikler bu raporları her bir ilçe için toplam sayıları içerecek şekilde düzenleyecekler, merkez ilçeden kendilerine yapılan başvurularla ilgili bilgileri de ekleyerek il bazında hazırlayacakları raporları İçişleri Bakanlığı’na göndereceklerdir. </w:t>
            </w:r>
            <w:proofErr w:type="gramEnd"/>
            <w:r w:rsidRPr="007B2A62">
              <w:rPr>
                <w:rFonts w:ascii="Times New Roman" w:eastAsia="Times New Roman" w:hAnsi="Times New Roman" w:cs="Times New Roman"/>
                <w:sz w:val="18"/>
                <w:szCs w:val="18"/>
              </w:rPr>
              <w:t>Ancak; belediyelere yapılan müracaatların ayrıca değerlendirilebilmesi amacıyla valiliklerce il bazında hazır</w:t>
            </w:r>
            <w:r w:rsidRPr="007B2A62">
              <w:rPr>
                <w:rFonts w:ascii="Times New Roman" w:eastAsia="Times New Roman" w:hAnsi="Times New Roman" w:cs="Times New Roman"/>
                <w:spacing w:val="5"/>
                <w:sz w:val="18"/>
                <w:szCs w:val="18"/>
              </w:rPr>
              <w:t xml:space="preserve">lanacak raporlarda, belediyelerle ilgili bilgiler toplu halde ayrıca belirtilecektir. İçişleri </w:t>
            </w:r>
            <w:r w:rsidRPr="007B2A62">
              <w:rPr>
                <w:rFonts w:ascii="Times New Roman" w:eastAsia="Times New Roman" w:hAnsi="Times New Roman" w:cs="Times New Roman"/>
                <w:sz w:val="18"/>
                <w:szCs w:val="18"/>
              </w:rPr>
              <w:t>Bakanlığınca, illerden gelen tüm raporlar birleştirilerek iller bazında tek bir rapor halinde düzenlenecek ve Bilgi Edinme Değerlendirme Kurulu Başkanlığına gönderilecektir.</w:t>
            </w:r>
          </w:p>
          <w:p w:rsidR="007B2A62" w:rsidRPr="007B2A62" w:rsidRDefault="007B2A62" w:rsidP="007B2A62">
            <w:pPr>
              <w:tabs>
                <w:tab w:val="left" w:pos="567"/>
              </w:tabs>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ab/>
            </w:r>
            <w:r w:rsidRPr="007B2A62">
              <w:rPr>
                <w:rFonts w:ascii="Times New Roman" w:eastAsia="Times New Roman" w:hAnsi="Times New Roman" w:cs="Times New Roman"/>
                <w:b/>
                <w:sz w:val="18"/>
                <w:szCs w:val="18"/>
              </w:rPr>
              <w:t>3.</w:t>
            </w:r>
            <w:r w:rsidRPr="007B2A62">
              <w:rPr>
                <w:rFonts w:ascii="Times New Roman" w:eastAsia="Times New Roman" w:hAnsi="Times New Roman" w:cs="Times New Roman"/>
                <w:sz w:val="18"/>
                <w:szCs w:val="18"/>
              </w:rPr>
              <w:t xml:space="preserve"> </w:t>
            </w:r>
            <w:proofErr w:type="gramStart"/>
            <w:r w:rsidRPr="007B2A62">
              <w:rPr>
                <w:rFonts w:ascii="Times New Roman" w:eastAsia="Times New Roman" w:hAnsi="Times New Roman" w:cs="Times New Roman"/>
                <w:spacing w:val="5"/>
                <w:sz w:val="18"/>
                <w:szCs w:val="18"/>
              </w:rPr>
              <w:t>Kamu kurumu</w:t>
            </w:r>
            <w:proofErr w:type="gramEnd"/>
            <w:r w:rsidRPr="007B2A62">
              <w:rPr>
                <w:rFonts w:ascii="Times New Roman" w:eastAsia="Times New Roman" w:hAnsi="Times New Roman" w:cs="Times New Roman"/>
                <w:spacing w:val="5"/>
                <w:sz w:val="18"/>
                <w:szCs w:val="18"/>
              </w:rPr>
              <w:t xml:space="preserve"> niteliğindeki meslek kuruluşlarının il ve ilçe teşkilatları ile 5442</w:t>
            </w:r>
            <w:r w:rsidRPr="007B2A62">
              <w:rPr>
                <w:rFonts w:ascii="Times New Roman" w:eastAsia="Times New Roman" w:hAnsi="Times New Roman" w:cs="Times New Roman"/>
                <w:sz w:val="18"/>
                <w:szCs w:val="18"/>
              </w:rPr>
              <w:t xml:space="preserve"> sayılı Kanun kapsamına girmeyen kurum ve kuruluşların taşra teşkilatlarına ait raporlar, bağlı, ilgili veya ilişkili oldukları kurum ve kuruluşlarda toplanacak ve bu kuruluşlar aracılığıyla bağlı, ilgili veya ilişkili oldukları bakanlığa gönderilecek, bakanlıklarda toplanacak raporlar, </w:t>
            </w:r>
            <w:r w:rsidRPr="007B2A62">
              <w:rPr>
                <w:rFonts w:ascii="Times New Roman" w:eastAsia="Times New Roman" w:hAnsi="Times New Roman" w:cs="Times New Roman"/>
                <w:spacing w:val="5"/>
                <w:sz w:val="18"/>
                <w:szCs w:val="18"/>
              </w:rPr>
              <w:t>merkezde yapılan başvurulara ilişkin bilgiler de eklenmek suretiyle tek bir rapor halinde</w:t>
            </w:r>
            <w:r w:rsidRPr="007B2A62">
              <w:rPr>
                <w:rFonts w:ascii="Times New Roman" w:eastAsia="Times New Roman" w:hAnsi="Times New Roman" w:cs="Times New Roman"/>
                <w:sz w:val="18"/>
                <w:szCs w:val="18"/>
              </w:rPr>
              <w:t xml:space="preserve"> düzenlenerek Bilgi Edinme Değerlendirme Kurulu Başkanlığına gönderilecektir.</w:t>
            </w:r>
          </w:p>
          <w:p w:rsidR="007B2A62" w:rsidRPr="007B2A62" w:rsidRDefault="007B2A62" w:rsidP="007B2A62">
            <w:pPr>
              <w:tabs>
                <w:tab w:val="left" w:pos="567"/>
              </w:tabs>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ab/>
            </w:r>
            <w:r w:rsidRPr="007B2A62">
              <w:rPr>
                <w:rFonts w:ascii="Times New Roman" w:eastAsia="Times New Roman" w:hAnsi="Times New Roman" w:cs="Times New Roman"/>
                <w:b/>
                <w:sz w:val="18"/>
                <w:szCs w:val="18"/>
              </w:rPr>
              <w:t xml:space="preserve">4. </w:t>
            </w:r>
            <w:r w:rsidRPr="007B2A62">
              <w:rPr>
                <w:rFonts w:ascii="Times New Roman" w:eastAsia="Times New Roman" w:hAnsi="Times New Roman" w:cs="Times New Roman"/>
                <w:sz w:val="18"/>
                <w:szCs w:val="18"/>
              </w:rPr>
              <w:t>Üniversitelere ait raporlar Yükseköğretim Kurulu Başkanlığında toplanacak, anılan Başkanlığa yapılan başvurulara ilişkin bilgiler de eklendikten sonra tek bir rapor halinde düzenlenerek Bilgi Edinme Değerlendirme Kurulu Başkanlığına gönderilecektir.</w:t>
            </w:r>
          </w:p>
          <w:p w:rsidR="007B2A62" w:rsidRPr="007B2A62" w:rsidRDefault="007B2A62" w:rsidP="007B2A62">
            <w:pPr>
              <w:tabs>
                <w:tab w:val="left" w:pos="567"/>
              </w:tabs>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ab/>
            </w:r>
            <w:r w:rsidRPr="007B2A62">
              <w:rPr>
                <w:rFonts w:ascii="Times New Roman" w:eastAsia="Times New Roman" w:hAnsi="Times New Roman" w:cs="Times New Roman"/>
                <w:spacing w:val="5"/>
                <w:sz w:val="18"/>
                <w:szCs w:val="18"/>
              </w:rPr>
              <w:t xml:space="preserve">Yukarıdaki esaslar çerçevesinde hazırlanacak raporların en geç </w:t>
            </w:r>
            <w:proofErr w:type="gramStart"/>
            <w:r w:rsidRPr="007B2A62">
              <w:rPr>
                <w:rFonts w:ascii="Times New Roman" w:eastAsia="Times New Roman" w:hAnsi="Times New Roman" w:cs="Times New Roman"/>
                <w:spacing w:val="5"/>
                <w:sz w:val="18"/>
                <w:szCs w:val="18"/>
              </w:rPr>
              <w:t>28/2/2006</w:t>
            </w:r>
            <w:proofErr w:type="gramEnd"/>
            <w:r w:rsidRPr="007B2A62">
              <w:rPr>
                <w:rFonts w:ascii="Times New Roman" w:eastAsia="Times New Roman" w:hAnsi="Times New Roman" w:cs="Times New Roman"/>
                <w:spacing w:val="5"/>
                <w:sz w:val="18"/>
                <w:szCs w:val="18"/>
              </w:rPr>
              <w:t xml:space="preserve"> tarihine </w:t>
            </w:r>
            <w:r w:rsidRPr="007B2A62">
              <w:rPr>
                <w:rFonts w:ascii="Times New Roman" w:eastAsia="Times New Roman" w:hAnsi="Times New Roman" w:cs="Times New Roman"/>
                <w:sz w:val="18"/>
                <w:szCs w:val="18"/>
              </w:rPr>
              <w:t>kadar "Bilgi Edinme Değerlendirme Kurulu Başkanlığı, Başbakanlık/ANKARA" adresine yazılı ve disket ortamında gönderilmesini önemle rica ederim.</w:t>
            </w:r>
          </w:p>
          <w:p w:rsidR="007B2A62" w:rsidRPr="007B2A62" w:rsidRDefault="007B2A62" w:rsidP="007B2A62">
            <w:pPr>
              <w:tabs>
                <w:tab w:val="left" w:pos="567"/>
                <w:tab w:val="center" w:pos="5669"/>
              </w:tabs>
              <w:spacing w:after="0" w:line="240" w:lineRule="auto"/>
              <w:jc w:val="both"/>
              <w:rPr>
                <w:rFonts w:ascii="Times New Roman" w:eastAsia="Times New Roman" w:hAnsi="Times New Roman" w:cs="Times New Roman"/>
                <w:i/>
                <w:sz w:val="18"/>
                <w:szCs w:val="18"/>
              </w:rPr>
            </w:pPr>
          </w:p>
          <w:p w:rsidR="007B2A62" w:rsidRPr="007B2A62" w:rsidRDefault="007B2A62" w:rsidP="007B2A62">
            <w:pPr>
              <w:tabs>
                <w:tab w:val="center" w:pos="7452"/>
              </w:tabs>
              <w:spacing w:after="0" w:line="240" w:lineRule="auto"/>
              <w:jc w:val="both"/>
              <w:rPr>
                <w:rFonts w:ascii="Times New Roman" w:eastAsia="Times New Roman" w:hAnsi="Times New Roman" w:cs="Times New Roman"/>
                <w:i/>
                <w:sz w:val="18"/>
                <w:szCs w:val="18"/>
              </w:rPr>
            </w:pPr>
            <w:r w:rsidRPr="007B2A62">
              <w:rPr>
                <w:rFonts w:ascii="Times New Roman" w:eastAsia="Times New Roman" w:hAnsi="Times New Roman" w:cs="Times New Roman"/>
                <w:i/>
                <w:sz w:val="18"/>
                <w:szCs w:val="18"/>
              </w:rPr>
              <w:tab/>
              <w:t>Recep Tayyip ERDOĞAN</w:t>
            </w:r>
          </w:p>
          <w:p w:rsidR="007B2A62" w:rsidRPr="007B2A62" w:rsidRDefault="007B2A62" w:rsidP="007B2A62">
            <w:pPr>
              <w:tabs>
                <w:tab w:val="center" w:pos="7452"/>
              </w:tabs>
              <w:spacing w:after="0" w:line="240" w:lineRule="auto"/>
              <w:jc w:val="both"/>
              <w:rPr>
                <w:rFonts w:ascii="Times New Roman" w:eastAsia="Times New Roman" w:hAnsi="Times New Roman" w:cs="Times New Roman"/>
                <w:i/>
                <w:sz w:val="18"/>
                <w:szCs w:val="18"/>
              </w:rPr>
            </w:pPr>
            <w:r w:rsidRPr="007B2A62">
              <w:rPr>
                <w:rFonts w:ascii="Times New Roman" w:eastAsia="Times New Roman" w:hAnsi="Times New Roman" w:cs="Times New Roman"/>
                <w:i/>
                <w:sz w:val="18"/>
                <w:szCs w:val="18"/>
              </w:rPr>
              <w:tab/>
              <w:t>Başbakan</w:t>
            </w:r>
          </w:p>
          <w:p w:rsidR="007B2A62" w:rsidRP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Default="007B2A62" w:rsidP="007B2A62">
            <w:pPr>
              <w:spacing w:after="0" w:line="240" w:lineRule="auto"/>
              <w:rPr>
                <w:rFonts w:ascii="New York" w:eastAsia="Times New Roman" w:hAnsi="New York" w:cs="Times New Roman"/>
                <w:sz w:val="24"/>
                <w:szCs w:val="20"/>
                <w:lang w:val="en-US"/>
              </w:rPr>
            </w:pPr>
          </w:p>
          <w:p w:rsidR="007B2A62" w:rsidRPr="007B2A62" w:rsidRDefault="007B2A62" w:rsidP="007B2A62">
            <w:pPr>
              <w:spacing w:after="0" w:line="240" w:lineRule="auto"/>
              <w:rPr>
                <w:rFonts w:ascii="New York" w:eastAsia="Times New Roman" w:hAnsi="New York" w:cs="Times New Roman"/>
                <w:sz w:val="24"/>
                <w:szCs w:val="20"/>
                <w:lang w:val="en-US"/>
              </w:rPr>
            </w:pPr>
          </w:p>
          <w:p w:rsidR="007B2A62" w:rsidRPr="007B2A62" w:rsidRDefault="007B2A62" w:rsidP="007B2A62">
            <w:pPr>
              <w:spacing w:after="0" w:line="240" w:lineRule="auto"/>
              <w:jc w:val="center"/>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lastRenderedPageBreak/>
              <w:t>Bilgi Edinme Hakkının Kullanımıyla İlgili Yıllık Rapor</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b/>
                <w:sz w:val="18"/>
                <w:szCs w:val="18"/>
              </w:rPr>
              <w:t xml:space="preserve">Raporun Ait Olduğu </w:t>
            </w:r>
            <w:proofErr w:type="gramStart"/>
            <w:r w:rsidRPr="007B2A62">
              <w:rPr>
                <w:rFonts w:ascii="Times New Roman" w:eastAsia="Times New Roman" w:hAnsi="Times New Roman" w:cs="Times New Roman"/>
                <w:b/>
                <w:sz w:val="18"/>
                <w:szCs w:val="18"/>
              </w:rPr>
              <w:t>Yıl :</w:t>
            </w:r>
            <w:proofErr w:type="gramEnd"/>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 xml:space="preserve">Kurum veya </w:t>
            </w:r>
            <w:proofErr w:type="gramStart"/>
            <w:r w:rsidRPr="007B2A62">
              <w:rPr>
                <w:rFonts w:ascii="Times New Roman" w:eastAsia="Times New Roman" w:hAnsi="Times New Roman" w:cs="Times New Roman"/>
                <w:b/>
                <w:sz w:val="18"/>
                <w:szCs w:val="18"/>
              </w:rPr>
              <w:t>Kuruluş :</w:t>
            </w:r>
            <w:proofErr w:type="gramEnd"/>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8"/>
              <w:gridCol w:w="1331"/>
            </w:tblGrid>
            <w:tr w:rsidR="007B2A62" w:rsidRPr="007B2A62">
              <w:tc>
                <w:tcPr>
                  <w:tcW w:w="7848" w:type="dxa"/>
                  <w:tcBorders>
                    <w:top w:val="single" w:sz="4" w:space="0" w:color="auto"/>
                    <w:left w:val="single" w:sz="4" w:space="0" w:color="auto"/>
                    <w:bottom w:val="single" w:sz="4" w:space="0" w:color="auto"/>
                    <w:right w:val="single" w:sz="4" w:space="0" w:color="auto"/>
                  </w:tcBorders>
                  <w:hideMark/>
                </w:tcPr>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VERİLER</w:t>
                  </w:r>
                </w:p>
              </w:tc>
              <w:tc>
                <w:tcPr>
                  <w:tcW w:w="1364" w:type="dxa"/>
                  <w:tcBorders>
                    <w:top w:val="single" w:sz="4" w:space="0" w:color="auto"/>
                    <w:left w:val="single" w:sz="4" w:space="0" w:color="auto"/>
                    <w:bottom w:val="single" w:sz="4" w:space="0" w:color="auto"/>
                    <w:right w:val="single" w:sz="4" w:space="0" w:color="auto"/>
                  </w:tcBorders>
                  <w:hideMark/>
                </w:tcPr>
                <w:p w:rsidR="007B2A62" w:rsidRPr="007B2A62" w:rsidRDefault="007B2A62" w:rsidP="007B2A62">
                  <w:pPr>
                    <w:spacing w:after="0" w:line="240" w:lineRule="auto"/>
                    <w:jc w:val="center"/>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SAYISI</w:t>
                  </w: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Bilgi edinme başvurusu toplamı</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Olumlu Cevaplanarak bilgi veya belgelere erişim sağlanan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Kısmen olumlu cevaplanarak kısmen de reddedilerek bilgi ve belgelere erişim sağlanan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Reddedilen* başvurular toplamı</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Gizli ya da sır niteliğindeki bilgiler çıkarılarak veya ayrılarak bilgi ve belgelere erişim sağlanan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Diğer Kurum ve Kuruluşlara yönlendirilen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b/>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Başvurusu reddedilenlerden yargıya itiraz edenlerin toplam sayısı</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b/>
                      <w:sz w:val="18"/>
                      <w:szCs w:val="18"/>
                    </w:rPr>
                  </w:pPr>
                </w:p>
              </w:tc>
            </w:tr>
          </w:tbl>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Kurum veya Kuruluş adına bilgileri düzenleyenin:</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Adı ve Soyadı</w:t>
            </w:r>
            <w:r w:rsidRPr="007B2A62">
              <w:rPr>
                <w:rFonts w:ascii="Times New Roman" w:eastAsia="Times New Roman" w:hAnsi="Times New Roman" w:cs="Times New Roman"/>
                <w:b/>
                <w:sz w:val="18"/>
                <w:szCs w:val="18"/>
              </w:rPr>
              <w:tab/>
              <w:t>:</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Görevi</w:t>
            </w:r>
            <w:r w:rsidRPr="007B2A62">
              <w:rPr>
                <w:rFonts w:ascii="Times New Roman" w:eastAsia="Times New Roman" w:hAnsi="Times New Roman" w:cs="Times New Roman"/>
                <w:b/>
                <w:sz w:val="18"/>
                <w:szCs w:val="18"/>
              </w:rPr>
              <w:tab/>
            </w:r>
            <w:r w:rsidRPr="007B2A62">
              <w:rPr>
                <w:rFonts w:ascii="Times New Roman" w:eastAsia="Times New Roman" w:hAnsi="Times New Roman" w:cs="Times New Roman"/>
                <w:b/>
                <w:sz w:val="18"/>
                <w:szCs w:val="18"/>
              </w:rPr>
              <w:tab/>
              <w:t>:</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İmzası</w:t>
            </w:r>
            <w:r w:rsidRPr="007B2A62">
              <w:rPr>
                <w:rFonts w:ascii="Times New Roman" w:eastAsia="Times New Roman" w:hAnsi="Times New Roman" w:cs="Times New Roman"/>
                <w:b/>
                <w:sz w:val="18"/>
                <w:szCs w:val="18"/>
              </w:rPr>
              <w:tab/>
            </w:r>
            <w:r w:rsidRPr="007B2A62">
              <w:rPr>
                <w:rFonts w:ascii="Times New Roman" w:eastAsia="Times New Roman" w:hAnsi="Times New Roman" w:cs="Times New Roman"/>
                <w:b/>
                <w:sz w:val="18"/>
                <w:szCs w:val="18"/>
              </w:rPr>
              <w:tab/>
              <w:t>:</w:t>
            </w: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New York" w:eastAsia="Times New Roman" w:hAnsi="New York" w:cs="Times New Roman"/>
                <w:sz w:val="24"/>
                <w:szCs w:val="20"/>
              </w:rPr>
            </w:pPr>
            <w:r w:rsidRPr="007B2A62">
              <w:rPr>
                <w:rFonts w:ascii="Times New Roman" w:eastAsia="Times New Roman" w:hAnsi="Times New Roman" w:cs="Times New Roman"/>
                <w:sz w:val="18"/>
                <w:szCs w:val="18"/>
              </w:rPr>
              <w:t>* Bu kısımda 4982 sayılı Kanunun ve ilgili Yönetmeliğin istisnalarına girdiği için “olumsuz cevaplanan başvurular” ile Yönetmeliğin 9, 10, 11 ve 14 üncü maddelerinde belirtilen şekil şartlarını taşımadığı için işleme konulamayan ve ilgilisine bildirilen başvurular yer alacaktır.</w:t>
            </w:r>
          </w:p>
        </w:tc>
      </w:tr>
    </w:tbl>
    <w:p w:rsidR="00000000" w:rsidRDefault="007B2A62"/>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7B2A62"/>
    <w:rsid w:val="007B2A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510530">
      <w:bodyDiv w:val="1"/>
      <w:marLeft w:val="0"/>
      <w:marRight w:val="0"/>
      <w:marTop w:val="0"/>
      <w:marBottom w:val="0"/>
      <w:divBdr>
        <w:top w:val="none" w:sz="0" w:space="0" w:color="auto"/>
        <w:left w:val="none" w:sz="0" w:space="0" w:color="auto"/>
        <w:bottom w:val="none" w:sz="0" w:space="0" w:color="auto"/>
        <w:right w:val="none" w:sz="0" w:space="0" w:color="auto"/>
      </w:divBdr>
      <w:divsChild>
        <w:div w:id="168651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WINCAFE</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CP3</dc:creator>
  <cp:keywords/>
  <dc:description/>
  <cp:lastModifiedBy>CP3</cp:lastModifiedBy>
  <cp:revision>2</cp:revision>
  <dcterms:created xsi:type="dcterms:W3CDTF">2013-05-18T09:07:00Z</dcterms:created>
  <dcterms:modified xsi:type="dcterms:W3CDTF">2013-05-18T09:08:00Z</dcterms:modified>
</cp:coreProperties>
</file>